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489F54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990058">
        <w:rPr>
          <w:rFonts w:ascii="Calibri" w:hAnsi="Calibri"/>
        </w:rPr>
        <w:t>ENG8</w:t>
      </w:r>
      <w:r w:rsidRPr="007A395D">
        <w:rPr>
          <w:rFonts w:ascii="Calibri" w:hAnsi="Calibri"/>
        </w:rPr>
        <w:t>-</w:t>
      </w:r>
      <w:r w:rsidR="0028702E">
        <w:rPr>
          <w:rFonts w:ascii="Calibri" w:hAnsi="Calibri"/>
        </w:rPr>
        <w:t>10.6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133D0B6"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0058">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08BACCFF"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28702E">
        <w:tab/>
      </w:r>
      <w:r w:rsidR="0028702E">
        <w:tab/>
        <w:t>10</w:t>
      </w:r>
    </w:p>
    <w:p w14:paraId="5C721796" w14:textId="01AF426E" w:rsidR="00677FAA" w:rsidRPr="007A395D" w:rsidRDefault="00677FAA" w:rsidP="00677FAA">
      <w:pPr>
        <w:pStyle w:val="BodyText"/>
      </w:pPr>
      <w:r>
        <w:t>Working Group</w:t>
      </w:r>
      <w:r>
        <w:tab/>
      </w:r>
      <w:r>
        <w:tab/>
      </w:r>
      <w:r>
        <w:tab/>
      </w:r>
      <w:r>
        <w:tab/>
      </w:r>
      <w:r>
        <w:tab/>
      </w:r>
      <w:r w:rsidR="00CC2DCC">
        <w:t>WG</w:t>
      </w:r>
      <w:r w:rsidR="0028702E">
        <w:t>2</w:t>
      </w:r>
      <w:bookmarkStart w:id="0" w:name="_GoBack"/>
      <w:bookmarkEnd w:id="0"/>
    </w:p>
    <w:p w14:paraId="01FC5420" w14:textId="0DEE4CE0"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990058">
        <w:t>Seamus Doyle</w:t>
      </w:r>
    </w:p>
    <w:p w14:paraId="4834080C" w14:textId="51C44C10" w:rsidR="00A446C9" w:rsidRPr="00CC2DCC" w:rsidRDefault="00990058" w:rsidP="00F36489">
      <w:pPr>
        <w:pStyle w:val="Title"/>
        <w:rPr>
          <w:color w:val="00558C"/>
        </w:rPr>
      </w:pPr>
      <w:r>
        <w:rPr>
          <w:color w:val="00558C"/>
        </w:rPr>
        <w:t>Definitions in IALA Dictionary</w:t>
      </w:r>
      <w:r w:rsidR="0027438B">
        <w:rPr>
          <w:color w:val="00558C"/>
        </w:rPr>
        <w:t xml:space="preserve"> – </w:t>
      </w:r>
      <w:r w:rsidR="00BA127E">
        <w:rPr>
          <w:color w:val="00558C"/>
        </w:rPr>
        <w:t>Power Supplies</w:t>
      </w:r>
    </w:p>
    <w:p w14:paraId="0F258596" w14:textId="50FB6E37" w:rsidR="00A446C9" w:rsidRPr="004D4B1B" w:rsidRDefault="00A446C9" w:rsidP="009B5263">
      <w:pPr>
        <w:pStyle w:val="Heading1"/>
      </w:pPr>
      <w:r w:rsidRPr="009B5263">
        <w:t>Summary</w:t>
      </w:r>
    </w:p>
    <w:p w14:paraId="5432CFB6" w14:textId="11DBCDF9" w:rsidR="00B56BDF" w:rsidRPr="007A395D" w:rsidRDefault="00990058" w:rsidP="00F36489">
      <w:pPr>
        <w:pStyle w:val="BodyText"/>
      </w:pPr>
      <w:r>
        <w:t xml:space="preserve">Under ENG7 action 22 the IALA Secretariat was requested to upload </w:t>
      </w:r>
      <w:r w:rsidR="00BA127E">
        <w:t>definitions from Guideline G1067</w:t>
      </w:r>
      <w:r w:rsidR="00A01AB0">
        <w:t xml:space="preserve"> to the IALA Dictionary</w:t>
      </w:r>
      <w:r w:rsidR="0086654F" w:rsidRPr="007A395D">
        <w:t>.</w:t>
      </w:r>
    </w:p>
    <w:p w14:paraId="36D645BE" w14:textId="77777777" w:rsidR="00B56BDF" w:rsidRPr="007A395D" w:rsidRDefault="00B56BDF" w:rsidP="00605E43">
      <w:pPr>
        <w:pStyle w:val="Heading2"/>
      </w:pPr>
      <w:r w:rsidRPr="007A395D">
        <w:t>Related documents</w:t>
      </w:r>
    </w:p>
    <w:p w14:paraId="553E55ED" w14:textId="0543BC8C" w:rsidR="00E55927" w:rsidRPr="00F36489" w:rsidRDefault="00BA127E" w:rsidP="00F36489">
      <w:pPr>
        <w:pStyle w:val="BodyText"/>
      </w:pPr>
      <w:r>
        <w:t>Guideline G1067-3</w:t>
      </w:r>
      <w:r w:rsidR="00990058">
        <w:t>, Dec 2017</w:t>
      </w:r>
      <w:r w:rsidR="00E55927" w:rsidRPr="00F36489">
        <w:t>.</w:t>
      </w:r>
      <w:r w:rsidR="00A01AB0">
        <w:t xml:space="preserve"> </w:t>
      </w:r>
    </w:p>
    <w:p w14:paraId="6CB7F97F" w14:textId="2BCFD464" w:rsidR="008E0A97" w:rsidRDefault="008E0A97" w:rsidP="00605E43">
      <w:pPr>
        <w:pStyle w:val="Heading1"/>
      </w:pPr>
      <w:r>
        <w:t>Definition of Cycle Life</w:t>
      </w:r>
    </w:p>
    <w:p w14:paraId="68EB740C" w14:textId="5D35257E" w:rsidR="008E0A97" w:rsidRDefault="008E0A97" w:rsidP="008E0A97">
      <w:pPr>
        <w:pStyle w:val="BodyText"/>
        <w:rPr>
          <w:lang w:eastAsia="de-DE"/>
        </w:rPr>
      </w:pPr>
      <w:r>
        <w:rPr>
          <w:lang w:eastAsia="de-DE"/>
        </w:rPr>
        <w:t>The definition of cycle life in G1067-3 varies from that already in the Dictionary.</w:t>
      </w:r>
    </w:p>
    <w:p w14:paraId="2CA55185" w14:textId="0C8360AC" w:rsidR="008E0A97" w:rsidRDefault="008E0A97" w:rsidP="008E0A97">
      <w:pPr>
        <w:pStyle w:val="List1"/>
        <w:numPr>
          <w:ilvl w:val="0"/>
          <w:numId w:val="23"/>
        </w:numPr>
        <w:rPr>
          <w:lang w:eastAsia="de-DE"/>
        </w:rPr>
      </w:pPr>
      <w:r>
        <w:t xml:space="preserve">The definition of cycle life in the Dictionary is: </w:t>
      </w:r>
      <w:r w:rsidRPr="008E0A97">
        <w:t>The number of cycles obtainable from a cell or battery under specified conditions.</w:t>
      </w:r>
    </w:p>
    <w:p w14:paraId="3B58C793" w14:textId="77777777" w:rsidR="008E0A97" w:rsidRDefault="008E0A97" w:rsidP="008E0A97">
      <w:pPr>
        <w:pStyle w:val="List1"/>
        <w:numPr>
          <w:ilvl w:val="0"/>
          <w:numId w:val="23"/>
        </w:numPr>
      </w:pPr>
      <w:r>
        <w:t>The definition of cycle life in G1067-03 is: The cycle life (endurance) is the ability of the battery to withstand repeated charging and discharging.</w:t>
      </w:r>
    </w:p>
    <w:p w14:paraId="022651AA" w14:textId="57ED1E01" w:rsidR="008E0A97" w:rsidRPr="008E0A97" w:rsidRDefault="008E0A97" w:rsidP="008E0A97">
      <w:pPr>
        <w:pStyle w:val="List1"/>
        <w:numPr>
          <w:ilvl w:val="0"/>
          <w:numId w:val="0"/>
        </w:numPr>
        <w:ind w:left="567"/>
        <w:rPr>
          <w:lang w:eastAsia="de-DE"/>
        </w:rPr>
      </w:pPr>
      <w:r>
        <w:t>The cycle life is normally given for cycles with a fixed depth of discharge (DOD) and with the battery fully charged in each cycle.  Batteries are normally characterised by the number of cycles that can be achieved before the capacity has declined to the value specified in the relevant standards (e.g. 80 % of the rated capacity).</w:t>
      </w:r>
    </w:p>
    <w:p w14:paraId="7A8D2F27" w14:textId="77777777" w:rsidR="00A446C9" w:rsidRPr="007A395D" w:rsidRDefault="00A446C9" w:rsidP="00605E43">
      <w:pPr>
        <w:pStyle w:val="Heading1"/>
      </w:pPr>
      <w:r w:rsidRPr="007A395D">
        <w:t>Action requested of the Committee</w:t>
      </w:r>
    </w:p>
    <w:p w14:paraId="1556E528" w14:textId="1BF91BF2" w:rsidR="00F25BF4" w:rsidRPr="007A395D" w:rsidRDefault="00421015" w:rsidP="00F36489">
      <w:pPr>
        <w:pStyle w:val="BodyText"/>
      </w:pPr>
      <w:r>
        <w:t xml:space="preserve">The Committee is requested </w:t>
      </w:r>
      <w:r w:rsidR="00755F10">
        <w:t>to:</w:t>
      </w:r>
    </w:p>
    <w:p w14:paraId="5E201BEE" w14:textId="26F4406E" w:rsidR="004D1D85" w:rsidRPr="007A395D" w:rsidRDefault="008E0A97" w:rsidP="003F217C">
      <w:pPr>
        <w:pStyle w:val="List1"/>
        <w:numPr>
          <w:ilvl w:val="0"/>
          <w:numId w:val="15"/>
        </w:numPr>
      </w:pPr>
      <w:r w:rsidRPr="008E0A97">
        <w:t xml:space="preserve">Advise if the definition of </w:t>
      </w:r>
      <w:r>
        <w:t>cycle life</w:t>
      </w:r>
      <w:r w:rsidRPr="008E0A97">
        <w:t xml:space="preserve"> in the Dictionary should be rep</w:t>
      </w:r>
      <w:r>
        <w:t>laced by the definition in G1067-3 (2017).</w:t>
      </w:r>
    </w:p>
    <w:sectPr w:rsidR="004D1D85" w:rsidRPr="007A395D" w:rsidSect="00421015">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44D8E" w14:textId="77777777" w:rsidR="005B5932" w:rsidRDefault="005B5932" w:rsidP="00362CD9">
      <w:r>
        <w:separator/>
      </w:r>
    </w:p>
    <w:p w14:paraId="3B2000BA" w14:textId="77777777" w:rsidR="005B5932" w:rsidRDefault="005B5932"/>
    <w:p w14:paraId="55C8A5A1" w14:textId="77777777" w:rsidR="005B5932" w:rsidRDefault="005B5932"/>
  </w:endnote>
  <w:endnote w:type="continuationSeparator" w:id="0">
    <w:p w14:paraId="0B0A722F" w14:textId="77777777" w:rsidR="005B5932" w:rsidRDefault="005B5932" w:rsidP="00362CD9">
      <w:r>
        <w:continuationSeparator/>
      </w:r>
    </w:p>
    <w:p w14:paraId="2ACB2D1F" w14:textId="77777777" w:rsidR="005B5932" w:rsidRDefault="005B5932"/>
    <w:p w14:paraId="4F8ED301" w14:textId="77777777" w:rsidR="005B5932" w:rsidRDefault="005B5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A770A" w14:textId="77777777" w:rsidR="0028702E" w:rsidRDefault="002870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360AA" w14:textId="77777777" w:rsidR="0028702E" w:rsidRDefault="002870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25842" w14:textId="77777777" w:rsidR="0028702E" w:rsidRDefault="00287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3C743" w14:textId="77777777" w:rsidR="005B5932" w:rsidRDefault="005B5932" w:rsidP="00362CD9">
      <w:r>
        <w:separator/>
      </w:r>
    </w:p>
    <w:p w14:paraId="3A600DB0" w14:textId="77777777" w:rsidR="005B5932" w:rsidRDefault="005B5932"/>
    <w:p w14:paraId="11F9E332" w14:textId="77777777" w:rsidR="005B5932" w:rsidRDefault="005B5932"/>
  </w:footnote>
  <w:footnote w:type="continuationSeparator" w:id="0">
    <w:p w14:paraId="67940CDC" w14:textId="77777777" w:rsidR="005B5932" w:rsidRDefault="005B5932" w:rsidP="00362CD9">
      <w:r>
        <w:continuationSeparator/>
      </w:r>
    </w:p>
    <w:p w14:paraId="35BE4750" w14:textId="77777777" w:rsidR="005B5932" w:rsidRDefault="005B5932"/>
    <w:p w14:paraId="5FC29769" w14:textId="77777777" w:rsidR="005B5932" w:rsidRDefault="005B5932"/>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75183" w14:textId="6B810EF5" w:rsidR="0028702E" w:rsidRDefault="0028702E">
    <w:pPr>
      <w:pStyle w:val="Header"/>
    </w:pPr>
    <w:r>
      <w:rPr>
        <w:noProof/>
      </w:rPr>
      <w:pict w14:anchorId="6460AA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65938" o:spid="_x0000_s2050" type="#_x0000_t136" style="position:absolute;margin-left:0;margin-top:0;width:622.3pt;height:67.1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AE5BB" w14:textId="6018FFDE" w:rsidR="0028702E" w:rsidRDefault="0028702E">
    <w:pPr>
      <w:pStyle w:val="Header"/>
    </w:pPr>
    <w:r>
      <w:rPr>
        <w:noProof/>
      </w:rPr>
      <w:pict w14:anchorId="62C95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65939" o:spid="_x0000_s2051" type="#_x0000_t136" style="position:absolute;margin-left:0;margin-top:0;width:622.3pt;height:67.1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D023" w14:textId="3BA8A52D" w:rsidR="0028702E" w:rsidRDefault="0028702E">
    <w:pPr>
      <w:pStyle w:val="Header"/>
    </w:pPr>
    <w:r>
      <w:rPr>
        <w:noProof/>
      </w:rPr>
      <w:pict w14:anchorId="62A3A9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65937" o:spid="_x0000_s2049" type="#_x0000_t136" style="position:absolute;margin-left:0;margin-top:0;width:622.3pt;height:67.1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839432B"/>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3667F4"/>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86A5C34"/>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0"/>
  </w:num>
  <w:num w:numId="3">
    <w:abstractNumId w:val="17"/>
  </w:num>
  <w:num w:numId="4">
    <w:abstractNumId w:val="8"/>
  </w:num>
  <w:num w:numId="5">
    <w:abstractNumId w:val="5"/>
  </w:num>
  <w:num w:numId="6">
    <w:abstractNumId w:val="14"/>
  </w:num>
  <w:num w:numId="7">
    <w:abstractNumId w:val="13"/>
  </w:num>
  <w:num w:numId="8">
    <w:abstractNumId w:val="16"/>
  </w:num>
  <w:num w:numId="9">
    <w:abstractNumId w:val="4"/>
  </w:num>
  <w:num w:numId="10">
    <w:abstractNumId w:val="15"/>
  </w:num>
  <w:num w:numId="11">
    <w:abstractNumId w:val="10"/>
  </w:num>
  <w:num w:numId="12">
    <w:abstractNumId w:val="9"/>
  </w:num>
  <w:num w:numId="13">
    <w:abstractNumId w:val="3"/>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
  </w:num>
  <w:num w:numId="18">
    <w:abstractNumId w:val="2"/>
  </w:num>
  <w:num w:numId="19">
    <w:abstractNumId w:val="19"/>
  </w:num>
  <w:num w:numId="20">
    <w:abstractNumId w:val="7"/>
  </w:num>
  <w:num w:numId="21">
    <w:abstractNumId w:val="6"/>
  </w:num>
  <w:num w:numId="22">
    <w:abstractNumId w:val="10"/>
  </w:num>
  <w:num w:numId="23">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7438B"/>
    <w:rsid w:val="0028702E"/>
    <w:rsid w:val="002A0346"/>
    <w:rsid w:val="002A4487"/>
    <w:rsid w:val="002B49E9"/>
    <w:rsid w:val="002C632E"/>
    <w:rsid w:val="002D3E8B"/>
    <w:rsid w:val="002D4575"/>
    <w:rsid w:val="002D5C0C"/>
    <w:rsid w:val="002E03D1"/>
    <w:rsid w:val="002E6B74"/>
    <w:rsid w:val="002E6FCA"/>
    <w:rsid w:val="002F59C3"/>
    <w:rsid w:val="003336CC"/>
    <w:rsid w:val="00341E3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1015"/>
    <w:rsid w:val="00431B19"/>
    <w:rsid w:val="004520B3"/>
    <w:rsid w:val="004661AD"/>
    <w:rsid w:val="004737B9"/>
    <w:rsid w:val="004D1D85"/>
    <w:rsid w:val="004D3C3A"/>
    <w:rsid w:val="004D4279"/>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5932"/>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55F10"/>
    <w:rsid w:val="00765622"/>
    <w:rsid w:val="00770B6C"/>
    <w:rsid w:val="00783FE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E0A97"/>
    <w:rsid w:val="008F07BC"/>
    <w:rsid w:val="009165C0"/>
    <w:rsid w:val="0092692B"/>
    <w:rsid w:val="0093354F"/>
    <w:rsid w:val="00943E9C"/>
    <w:rsid w:val="00945C7B"/>
    <w:rsid w:val="00953F4D"/>
    <w:rsid w:val="00960BB8"/>
    <w:rsid w:val="00964F5C"/>
    <w:rsid w:val="009831C0"/>
    <w:rsid w:val="00990058"/>
    <w:rsid w:val="0099161D"/>
    <w:rsid w:val="009B5263"/>
    <w:rsid w:val="00A01AB0"/>
    <w:rsid w:val="00A0389B"/>
    <w:rsid w:val="00A33AE9"/>
    <w:rsid w:val="00A35999"/>
    <w:rsid w:val="00A446C9"/>
    <w:rsid w:val="00A635D6"/>
    <w:rsid w:val="00A8553A"/>
    <w:rsid w:val="00A930C1"/>
    <w:rsid w:val="00A93AED"/>
    <w:rsid w:val="00AD0D09"/>
    <w:rsid w:val="00AE1319"/>
    <w:rsid w:val="00AE144D"/>
    <w:rsid w:val="00AE34BB"/>
    <w:rsid w:val="00AE7635"/>
    <w:rsid w:val="00B226F2"/>
    <w:rsid w:val="00B274DF"/>
    <w:rsid w:val="00B56BDF"/>
    <w:rsid w:val="00B60EE8"/>
    <w:rsid w:val="00B65812"/>
    <w:rsid w:val="00B85CD6"/>
    <w:rsid w:val="00B90A27"/>
    <w:rsid w:val="00B9554D"/>
    <w:rsid w:val="00BA127E"/>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Lista">
    <w:name w:val="List a"/>
    <w:basedOn w:val="Normal"/>
    <w:qFormat/>
    <w:rsid w:val="00990058"/>
    <w:pPr>
      <w:tabs>
        <w:tab w:val="num" w:pos="0"/>
      </w:tabs>
      <w:spacing w:after="120"/>
      <w:ind w:left="1134" w:hanging="567"/>
      <w:jc w:val="both"/>
    </w:pPr>
    <w:rPr>
      <w:rFonts w:asciiTheme="minorHAnsi" w:eastAsia="Times New Roman" w:hAnsiTheme="minorHAnsi" w:cs="Times New Roman"/>
      <w:szCs w:val="20"/>
    </w:rPr>
  </w:style>
  <w:style w:type="paragraph" w:customStyle="1" w:styleId="Listi">
    <w:name w:val="List i"/>
    <w:basedOn w:val="Normal"/>
    <w:qFormat/>
    <w:rsid w:val="00990058"/>
    <w:pPr>
      <w:spacing w:after="120" w:line="216" w:lineRule="atLeast"/>
      <w:ind w:left="567" w:firstLine="567"/>
    </w:pPr>
    <w:rPr>
      <w:rFonts w:asciiTheme="minorHAnsi" w:eastAsiaTheme="minorHAnsi" w:hAnsiTheme="minorHAnsi" w:cstheme="minorBid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3BB28-DEC9-45F8-A50A-23914B7E8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4</cp:revision>
  <dcterms:created xsi:type="dcterms:W3CDTF">2018-02-18T16:41:00Z</dcterms:created>
  <dcterms:modified xsi:type="dcterms:W3CDTF">2018-08-01T16:57:00Z</dcterms:modified>
</cp:coreProperties>
</file>